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BEEA4C" w14:textId="77777777" w:rsidR="00F7448A" w:rsidRDefault="00F7448A" w:rsidP="00EF01D9">
      <w:pPr>
        <w:pStyle w:val="Heading2"/>
        <w:numPr>
          <w:ilvl w:val="1"/>
          <w:numId w:val="2"/>
        </w:numPr>
        <w:spacing w:afterLines="60" w:after="144" w:line="240" w:lineRule="auto"/>
        <w:jc w:val="right"/>
        <w:rPr>
          <w:rFonts w:ascii="Verdana" w:eastAsia="Calibri" w:hAnsi="Verdana" w:cs="Calibri"/>
          <w:sz w:val="18"/>
          <w:szCs w:val="20"/>
        </w:rPr>
      </w:pPr>
      <w:r>
        <w:rPr>
          <w:rFonts w:ascii="Verdana" w:eastAsia="Calibri" w:hAnsi="Verdana" w:cs="Calibri"/>
          <w:b w:val="0"/>
          <w:sz w:val="18"/>
          <w:szCs w:val="20"/>
        </w:rPr>
        <w:t>Informacja prasowa</w:t>
      </w:r>
    </w:p>
    <w:p w14:paraId="472F5900" w14:textId="55B901B5" w:rsidR="00F7448A" w:rsidRDefault="001E38D3" w:rsidP="001E38D3">
      <w:pPr>
        <w:spacing w:afterLines="60" w:after="144"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Tytotu.pl – i</w:t>
      </w:r>
      <w:r w:rsidR="00334F0E">
        <w:rPr>
          <w:rFonts w:ascii="Verdana" w:hAnsi="Verdana" w:cs="Times New Roman"/>
          <w:b/>
          <w:sz w:val="28"/>
          <w:szCs w:val="28"/>
        </w:rPr>
        <w:t>nternetowa p</w:t>
      </w:r>
      <w:r w:rsidR="00335FDC">
        <w:rPr>
          <w:rFonts w:ascii="Verdana" w:hAnsi="Verdana" w:cs="Times New Roman"/>
          <w:b/>
          <w:sz w:val="28"/>
          <w:szCs w:val="28"/>
        </w:rPr>
        <w:t xml:space="preserve">oradnia </w:t>
      </w:r>
      <w:r w:rsidR="0074139C">
        <w:rPr>
          <w:rFonts w:ascii="Verdana" w:hAnsi="Verdana" w:cs="Times New Roman"/>
          <w:b/>
          <w:sz w:val="28"/>
          <w:szCs w:val="28"/>
        </w:rPr>
        <w:t>zdrowia seksualnego</w:t>
      </w:r>
    </w:p>
    <w:p w14:paraId="7E762458" w14:textId="2C019961" w:rsidR="00FB3350" w:rsidRPr="00F11990" w:rsidRDefault="001E38D3" w:rsidP="001E38D3">
      <w:pPr>
        <w:spacing w:afterLines="60" w:after="144" w:line="240" w:lineRule="auto"/>
        <w:ind w:left="1701" w:right="1666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Specjaliści zapraszają wszystkich, którzy chcieliby zapytać o HIV</w:t>
      </w:r>
      <w:r w:rsidR="00144220">
        <w:rPr>
          <w:rFonts w:ascii="Verdana" w:hAnsi="Verdana" w:cs="Times New Roman"/>
          <w:bCs/>
          <w:sz w:val="24"/>
          <w:szCs w:val="24"/>
        </w:rPr>
        <w:t xml:space="preserve"> oraz choroby przenoszone drogą płciową</w:t>
      </w:r>
      <w:r>
        <w:rPr>
          <w:rFonts w:ascii="Verdana" w:hAnsi="Verdana" w:cs="Times New Roman"/>
          <w:bCs/>
          <w:sz w:val="24"/>
          <w:szCs w:val="24"/>
        </w:rPr>
        <w:t>, ale woleliby zrobić to online</w:t>
      </w:r>
    </w:p>
    <w:p w14:paraId="155D51E3" w14:textId="2B10F4AC" w:rsidR="00F7448A" w:rsidRPr="00A57D2A" w:rsidRDefault="0013135F" w:rsidP="00585C9C">
      <w:pPr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  <w:b/>
          <w:sz w:val="23"/>
          <w:szCs w:val="23"/>
        </w:rPr>
        <w:t>Wrocław</w:t>
      </w:r>
      <w:r w:rsidR="00F7448A">
        <w:rPr>
          <w:rFonts w:ascii="Verdana" w:hAnsi="Verdana" w:cs="Verdana"/>
          <w:b/>
          <w:sz w:val="23"/>
          <w:szCs w:val="23"/>
        </w:rPr>
        <w:t xml:space="preserve">, </w:t>
      </w:r>
      <w:r w:rsidR="00334F0E">
        <w:rPr>
          <w:rFonts w:ascii="Verdana" w:hAnsi="Verdana" w:cs="Verdana"/>
          <w:b/>
          <w:sz w:val="23"/>
          <w:szCs w:val="23"/>
        </w:rPr>
        <w:t xml:space="preserve">8 </w:t>
      </w:r>
      <w:r w:rsidR="00334F0E">
        <w:rPr>
          <w:rFonts w:ascii="Verdana" w:hAnsi="Verdana" w:cs="Verdana"/>
          <w:b/>
          <w:color w:val="auto"/>
          <w:sz w:val="23"/>
          <w:szCs w:val="23"/>
        </w:rPr>
        <w:t>stycznia</w:t>
      </w:r>
      <w:r w:rsidR="00144BFE">
        <w:rPr>
          <w:rFonts w:ascii="Verdana" w:hAnsi="Verdana" w:cs="Verdana"/>
          <w:b/>
          <w:color w:val="auto"/>
          <w:sz w:val="23"/>
          <w:szCs w:val="23"/>
        </w:rPr>
        <w:t xml:space="preserve"> </w:t>
      </w:r>
      <w:r>
        <w:rPr>
          <w:rFonts w:ascii="Verdana" w:hAnsi="Verdana" w:cs="Verdana"/>
          <w:b/>
          <w:color w:val="auto"/>
          <w:sz w:val="23"/>
          <w:szCs w:val="23"/>
        </w:rPr>
        <w:t>202</w:t>
      </w:r>
      <w:r w:rsidR="00334F0E">
        <w:rPr>
          <w:rFonts w:ascii="Verdana" w:hAnsi="Verdana" w:cs="Verdana"/>
          <w:b/>
          <w:color w:val="auto"/>
          <w:sz w:val="23"/>
          <w:szCs w:val="23"/>
        </w:rPr>
        <w:t>4</w:t>
      </w:r>
      <w:r w:rsidR="00F7448A">
        <w:rPr>
          <w:rFonts w:ascii="Verdana" w:hAnsi="Verdana" w:cs="Verdana"/>
          <w:b/>
          <w:color w:val="auto"/>
          <w:sz w:val="23"/>
          <w:szCs w:val="23"/>
        </w:rPr>
        <w:t xml:space="preserve"> r.</w:t>
      </w:r>
      <w:r w:rsidR="00F7448A" w:rsidRPr="0013135F">
        <w:rPr>
          <w:rFonts w:ascii="Verdana" w:hAnsi="Verdana" w:cs="Verdana"/>
          <w:sz w:val="23"/>
          <w:szCs w:val="23"/>
        </w:rPr>
        <w:t xml:space="preserve"> </w:t>
      </w:r>
      <w:r w:rsidR="001E38D3">
        <w:rPr>
          <w:rFonts w:ascii="Verdana" w:hAnsi="Verdana" w:cs="Verdana"/>
          <w:sz w:val="23"/>
          <w:szCs w:val="23"/>
        </w:rPr>
        <w:t>Porady specjalistów ds. HIV i zdrowia seksualnego, możliwość skonsultowania się z lekarzem, psychologiem, terapeutą</w:t>
      </w:r>
      <w:r w:rsidR="00396401">
        <w:rPr>
          <w:rFonts w:ascii="Verdana" w:hAnsi="Verdana" w:cs="Verdana"/>
          <w:sz w:val="23"/>
          <w:szCs w:val="23"/>
        </w:rPr>
        <w:t xml:space="preserve"> </w:t>
      </w:r>
      <w:r w:rsidR="001E38D3">
        <w:rPr>
          <w:rFonts w:ascii="Verdana" w:hAnsi="Verdana" w:cs="Verdana"/>
          <w:sz w:val="23"/>
          <w:szCs w:val="23"/>
        </w:rPr>
        <w:t xml:space="preserve">czy pielęgniarką, </w:t>
      </w:r>
      <w:r w:rsidR="00B21CDA">
        <w:rPr>
          <w:rFonts w:ascii="Verdana" w:hAnsi="Verdana" w:cs="Verdana"/>
          <w:sz w:val="23"/>
          <w:szCs w:val="23"/>
        </w:rPr>
        <w:t xml:space="preserve">oraz </w:t>
      </w:r>
      <w:r w:rsidR="001E38D3">
        <w:rPr>
          <w:rFonts w:ascii="Verdana" w:hAnsi="Verdana" w:cs="Verdana"/>
          <w:sz w:val="23"/>
          <w:szCs w:val="23"/>
        </w:rPr>
        <w:t>osob</w:t>
      </w:r>
      <w:r w:rsidR="00B21CDA">
        <w:rPr>
          <w:rFonts w:ascii="Verdana" w:hAnsi="Verdana" w:cs="Verdana"/>
          <w:sz w:val="23"/>
          <w:szCs w:val="23"/>
        </w:rPr>
        <w:t>ami</w:t>
      </w:r>
      <w:r w:rsidR="001E38D3">
        <w:rPr>
          <w:rFonts w:ascii="Verdana" w:hAnsi="Verdana" w:cs="Verdana"/>
          <w:sz w:val="23"/>
          <w:szCs w:val="23"/>
        </w:rPr>
        <w:t xml:space="preserve"> żyjąc</w:t>
      </w:r>
      <w:r w:rsidR="00B21CDA">
        <w:rPr>
          <w:rFonts w:ascii="Verdana" w:hAnsi="Verdana" w:cs="Verdana"/>
          <w:sz w:val="23"/>
          <w:szCs w:val="23"/>
        </w:rPr>
        <w:t>ymi</w:t>
      </w:r>
      <w:r w:rsidR="001E38D3">
        <w:rPr>
          <w:rFonts w:ascii="Verdana" w:hAnsi="Verdana" w:cs="Verdana"/>
          <w:sz w:val="23"/>
          <w:szCs w:val="23"/>
        </w:rPr>
        <w:t xml:space="preserve"> z</w:t>
      </w:r>
      <w:r w:rsidR="00C0399E">
        <w:rPr>
          <w:rFonts w:ascii="Verdana" w:hAnsi="Verdana" w:cs="Verdana"/>
          <w:sz w:val="23"/>
          <w:szCs w:val="23"/>
        </w:rPr>
        <w:t> </w:t>
      </w:r>
      <w:r w:rsidR="001E38D3">
        <w:rPr>
          <w:rFonts w:ascii="Verdana" w:hAnsi="Verdana" w:cs="Verdana"/>
          <w:sz w:val="23"/>
          <w:szCs w:val="23"/>
        </w:rPr>
        <w:t>wirusem oraz doradc</w:t>
      </w:r>
      <w:r w:rsidR="00B21CDA">
        <w:rPr>
          <w:rFonts w:ascii="Verdana" w:hAnsi="Verdana" w:cs="Verdana"/>
          <w:sz w:val="23"/>
          <w:szCs w:val="23"/>
        </w:rPr>
        <w:t>ami</w:t>
      </w:r>
      <w:r w:rsidR="001E38D3">
        <w:rPr>
          <w:rFonts w:ascii="Verdana" w:hAnsi="Verdana" w:cs="Verdana"/>
          <w:sz w:val="23"/>
          <w:szCs w:val="23"/>
        </w:rPr>
        <w:t xml:space="preserve"> HIV/AIDS</w:t>
      </w:r>
      <w:r w:rsidR="00B21CDA">
        <w:rPr>
          <w:rFonts w:ascii="Verdana" w:hAnsi="Verdana" w:cs="Verdana"/>
          <w:sz w:val="23"/>
          <w:szCs w:val="23"/>
        </w:rPr>
        <w:t xml:space="preserve"> </w:t>
      </w:r>
      <w:r w:rsidR="001E38D3">
        <w:rPr>
          <w:rFonts w:ascii="Verdana" w:hAnsi="Verdana" w:cs="Verdana"/>
          <w:sz w:val="23"/>
          <w:szCs w:val="23"/>
        </w:rPr>
        <w:t xml:space="preserve">– wszystko to dostępne jest bezpłatnie i bez wychodzenia z domu w internetowej poradni </w:t>
      </w:r>
      <w:hyperlink r:id="rId7" w:history="1">
        <w:r w:rsidR="0074139C" w:rsidRPr="00F20CF7">
          <w:rPr>
            <w:rStyle w:val="Hyperlink"/>
            <w:rFonts w:ascii="Verdana" w:hAnsi="Verdana" w:cs="Verdana"/>
            <w:sz w:val="23"/>
            <w:szCs w:val="23"/>
          </w:rPr>
          <w:t>tytotu.pl</w:t>
        </w:r>
      </w:hyperlink>
      <w:r w:rsidR="0074139C">
        <w:rPr>
          <w:rFonts w:ascii="Verdana" w:hAnsi="Verdana" w:cs="Verdana"/>
          <w:sz w:val="23"/>
          <w:szCs w:val="23"/>
        </w:rPr>
        <w:t xml:space="preserve">. Poradnia prowadzona jest przez </w:t>
      </w:r>
      <w:r w:rsidR="00FB3350">
        <w:rPr>
          <w:rFonts w:ascii="Verdana" w:hAnsi="Verdana" w:cs="Verdana"/>
          <w:sz w:val="23"/>
          <w:szCs w:val="23"/>
        </w:rPr>
        <w:t>wrocławskie</w:t>
      </w:r>
      <w:r w:rsidR="00334F0E">
        <w:rPr>
          <w:rFonts w:ascii="Verdana" w:hAnsi="Verdana" w:cs="Verdana"/>
          <w:sz w:val="23"/>
          <w:szCs w:val="23"/>
        </w:rPr>
        <w:t xml:space="preserve"> </w:t>
      </w:r>
      <w:r>
        <w:rPr>
          <w:rFonts w:ascii="Verdana" w:hAnsi="Verdana" w:cs="Verdana"/>
          <w:sz w:val="23"/>
          <w:szCs w:val="23"/>
        </w:rPr>
        <w:t>Stowarzyszeni</w:t>
      </w:r>
      <w:r w:rsidR="0074139C">
        <w:rPr>
          <w:rFonts w:ascii="Verdana" w:hAnsi="Verdana" w:cs="Verdana"/>
          <w:sz w:val="23"/>
          <w:szCs w:val="23"/>
        </w:rPr>
        <w:t>e</w:t>
      </w:r>
      <w:r w:rsidR="00334F0E">
        <w:rPr>
          <w:rFonts w:ascii="Verdana" w:hAnsi="Verdana" w:cs="Verdana"/>
          <w:sz w:val="23"/>
          <w:szCs w:val="23"/>
        </w:rPr>
        <w:t xml:space="preserve"> </w:t>
      </w:r>
      <w:r>
        <w:rPr>
          <w:rFonts w:ascii="Verdana" w:hAnsi="Verdana" w:cs="Verdana"/>
          <w:sz w:val="23"/>
          <w:szCs w:val="23"/>
        </w:rPr>
        <w:t xml:space="preserve">Podwale Siedem </w:t>
      </w:r>
      <w:r w:rsidR="0074139C">
        <w:rPr>
          <w:rFonts w:ascii="Verdana" w:hAnsi="Verdana" w:cs="Verdana"/>
          <w:sz w:val="23"/>
          <w:szCs w:val="23"/>
        </w:rPr>
        <w:t xml:space="preserve">dzięki finansowaniu pochodzącemu z </w:t>
      </w:r>
      <w:r w:rsidR="001E38D3">
        <w:rPr>
          <w:rFonts w:ascii="Verdana" w:hAnsi="Verdana" w:cs="Verdana"/>
          <w:sz w:val="23"/>
          <w:szCs w:val="23"/>
        </w:rPr>
        <w:t xml:space="preserve">grantu przyznanego w </w:t>
      </w:r>
      <w:r w:rsidR="0074139C">
        <w:rPr>
          <w:rFonts w:ascii="Verdana" w:hAnsi="Verdana" w:cs="Verdana"/>
          <w:sz w:val="23"/>
          <w:szCs w:val="23"/>
        </w:rPr>
        <w:t>konkurs</w:t>
      </w:r>
      <w:r w:rsidR="00C0399E">
        <w:rPr>
          <w:rFonts w:ascii="Verdana" w:hAnsi="Verdana" w:cs="Verdana"/>
          <w:sz w:val="23"/>
          <w:szCs w:val="23"/>
        </w:rPr>
        <w:t>ie</w:t>
      </w:r>
      <w:r w:rsidR="0074139C">
        <w:rPr>
          <w:rFonts w:ascii="Verdana" w:hAnsi="Verdana" w:cs="Verdana"/>
          <w:sz w:val="23"/>
          <w:szCs w:val="23"/>
        </w:rPr>
        <w:t xml:space="preserve"> </w:t>
      </w:r>
      <w:r w:rsidR="00A57D2A">
        <w:rPr>
          <w:rFonts w:ascii="Verdana" w:hAnsi="Verdana" w:cs="Verdana"/>
          <w:sz w:val="23"/>
          <w:szCs w:val="23"/>
        </w:rPr>
        <w:t>Pozytywnie Otwarci</w:t>
      </w:r>
      <w:r w:rsidR="0074139C">
        <w:rPr>
          <w:rFonts w:ascii="Verdana" w:hAnsi="Verdana" w:cs="Verdana"/>
          <w:sz w:val="23"/>
          <w:szCs w:val="23"/>
        </w:rPr>
        <w:t>.</w:t>
      </w:r>
    </w:p>
    <w:p w14:paraId="381B2624" w14:textId="11BA13D5" w:rsidR="00292524" w:rsidRDefault="00292524" w:rsidP="00585C9C">
      <w:pPr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 tym jak bardzo potrzebne jest </w:t>
      </w:r>
      <w:r w:rsidR="00144220">
        <w:rPr>
          <w:rFonts w:ascii="Verdana" w:eastAsia="Verdana" w:hAnsi="Verdana" w:cs="Verdana"/>
        </w:rPr>
        <w:t xml:space="preserve">takie </w:t>
      </w:r>
      <w:r>
        <w:rPr>
          <w:rFonts w:ascii="Verdana" w:eastAsia="Verdana" w:hAnsi="Verdana" w:cs="Verdana"/>
        </w:rPr>
        <w:t>wsparcie</w:t>
      </w:r>
      <w:r w:rsidR="00144220">
        <w:rPr>
          <w:rFonts w:ascii="Verdana" w:eastAsia="Verdana" w:hAnsi="Verdana" w:cs="Verdana"/>
        </w:rPr>
        <w:t xml:space="preserve"> i edukacja</w:t>
      </w:r>
      <w:r>
        <w:rPr>
          <w:rFonts w:ascii="Verdana" w:eastAsia="Verdana" w:hAnsi="Verdana" w:cs="Verdana"/>
        </w:rPr>
        <w:t xml:space="preserve"> w tematach związanych ze zdrowiem seksualnym świadczą raporty Narodowego Instytutu Zdrowia Publicznego PZH PIB. Wstępne dane </w:t>
      </w:r>
      <w:r w:rsidR="00144220">
        <w:rPr>
          <w:rFonts w:ascii="Verdana" w:eastAsia="Verdana" w:hAnsi="Verdana" w:cs="Verdana"/>
        </w:rPr>
        <w:t>z ubiegłego roku</w:t>
      </w:r>
      <w:r>
        <w:rPr>
          <w:rFonts w:ascii="Verdana" w:eastAsia="Verdana" w:hAnsi="Verdana" w:cs="Verdana"/>
        </w:rPr>
        <w:t xml:space="preserve"> pokazują, że </w:t>
      </w:r>
      <w:r w:rsidR="00C0399E">
        <w:rPr>
          <w:rFonts w:ascii="Verdana" w:eastAsia="Verdana" w:hAnsi="Verdana" w:cs="Verdana"/>
        </w:rPr>
        <w:t>problem chorób przenoszonych drogą płciową staje się u nas coraz poważniejszy</w:t>
      </w:r>
      <w:r>
        <w:rPr>
          <w:rFonts w:ascii="Verdana" w:eastAsia="Verdana" w:hAnsi="Verdana" w:cs="Verdana"/>
        </w:rPr>
        <w:t xml:space="preserve">. 2023 </w:t>
      </w:r>
      <w:r w:rsidR="00C0399E">
        <w:rPr>
          <w:rFonts w:ascii="Verdana" w:eastAsia="Verdana" w:hAnsi="Verdana" w:cs="Verdana"/>
        </w:rPr>
        <w:t xml:space="preserve">rok </w:t>
      </w:r>
      <w:r w:rsidR="00144220">
        <w:rPr>
          <w:rFonts w:ascii="Verdana" w:eastAsia="Verdana" w:hAnsi="Verdana" w:cs="Verdana"/>
        </w:rPr>
        <w:t>okazał się</w:t>
      </w:r>
      <w:r>
        <w:rPr>
          <w:rFonts w:ascii="Verdana" w:eastAsia="Verdana" w:hAnsi="Verdana" w:cs="Verdana"/>
        </w:rPr>
        <w:t xml:space="preserve"> rekordowy</w:t>
      </w:r>
      <w:r w:rsidR="001E38D3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jeśli chodzi o</w:t>
      </w:r>
      <w:r w:rsidR="00B21CDA">
        <w:rPr>
          <w:rFonts w:ascii="Verdana" w:eastAsia="Verdana" w:hAnsi="Verdana" w:cs="Verdana"/>
        </w:rPr>
        <w:t> </w:t>
      </w:r>
      <w:r w:rsidR="001E38D3">
        <w:rPr>
          <w:rFonts w:ascii="Verdana" w:eastAsia="Verdana" w:hAnsi="Verdana" w:cs="Verdana"/>
        </w:rPr>
        <w:t xml:space="preserve">liczbę </w:t>
      </w:r>
      <w:r>
        <w:rPr>
          <w:rFonts w:ascii="Verdana" w:eastAsia="Verdana" w:hAnsi="Verdana" w:cs="Verdana"/>
        </w:rPr>
        <w:t>nowo wykry</w:t>
      </w:r>
      <w:r w:rsidR="001E38D3">
        <w:rPr>
          <w:rFonts w:ascii="Verdana" w:eastAsia="Verdana" w:hAnsi="Verdana" w:cs="Verdana"/>
        </w:rPr>
        <w:t xml:space="preserve">tych </w:t>
      </w:r>
      <w:r>
        <w:rPr>
          <w:rFonts w:ascii="Verdana" w:eastAsia="Verdana" w:hAnsi="Verdana" w:cs="Verdana"/>
        </w:rPr>
        <w:t>zakaże</w:t>
      </w:r>
      <w:r w:rsidR="001E38D3">
        <w:rPr>
          <w:rFonts w:ascii="Verdana" w:eastAsia="Verdana" w:hAnsi="Verdana" w:cs="Verdana"/>
        </w:rPr>
        <w:t>ń</w:t>
      </w:r>
      <w:r>
        <w:rPr>
          <w:rFonts w:ascii="Verdana" w:eastAsia="Verdana" w:hAnsi="Verdana" w:cs="Verdana"/>
        </w:rPr>
        <w:t xml:space="preserve"> HIV. </w:t>
      </w:r>
      <w:r w:rsidR="001E38D3">
        <w:rPr>
          <w:rFonts w:ascii="Verdana" w:eastAsia="Verdana" w:hAnsi="Verdana" w:cs="Verdana"/>
        </w:rPr>
        <w:t>Było ich</w:t>
      </w:r>
      <w:r>
        <w:rPr>
          <w:rFonts w:ascii="Verdana" w:eastAsia="Verdana" w:hAnsi="Verdana" w:cs="Verdana"/>
        </w:rPr>
        <w:t xml:space="preserve"> 2905</w:t>
      </w:r>
      <w:r w:rsidR="001E38D3"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t>ponad 20% więcej niż rok wcześniej! W 2023</w:t>
      </w:r>
      <w:r w:rsidR="00C0399E">
        <w:rPr>
          <w:rFonts w:ascii="Verdana" w:eastAsia="Verdana" w:hAnsi="Verdana" w:cs="Verdana"/>
        </w:rPr>
        <w:t xml:space="preserve"> roku</w:t>
      </w:r>
      <w:r>
        <w:rPr>
          <w:rFonts w:ascii="Verdana" w:eastAsia="Verdana" w:hAnsi="Verdana" w:cs="Verdana"/>
        </w:rPr>
        <w:t xml:space="preserve"> zgłoszono również </w:t>
      </w:r>
      <w:r w:rsidR="00C0399E">
        <w:rPr>
          <w:rFonts w:ascii="Verdana" w:eastAsia="Verdana" w:hAnsi="Verdana" w:cs="Verdana"/>
        </w:rPr>
        <w:t>blisko</w:t>
      </w:r>
      <w:r>
        <w:rPr>
          <w:rFonts w:ascii="Verdana" w:eastAsia="Verdana" w:hAnsi="Verdana" w:cs="Verdana"/>
        </w:rPr>
        <w:t xml:space="preserve"> 3 tysiące przypadków kiły, niemal tysiąc zgłoszeń </w:t>
      </w:r>
      <w:proofErr w:type="spellStart"/>
      <w:r>
        <w:rPr>
          <w:rFonts w:ascii="Verdana" w:eastAsia="Verdana" w:hAnsi="Verdana" w:cs="Verdana"/>
        </w:rPr>
        <w:t>chlamydiozy</w:t>
      </w:r>
      <w:proofErr w:type="spellEnd"/>
      <w:r>
        <w:rPr>
          <w:rFonts w:ascii="Verdana" w:eastAsia="Verdana" w:hAnsi="Verdana" w:cs="Verdana"/>
        </w:rPr>
        <w:t xml:space="preserve"> oraz 1372 przypadki rzeżączki</w:t>
      </w:r>
      <w:r w:rsidR="00C0399E">
        <w:rPr>
          <w:rFonts w:ascii="Verdana" w:eastAsia="Verdana" w:hAnsi="Verdana" w:cs="Verdana"/>
        </w:rPr>
        <w:t>. Wszystkie te liczby są wyraźnie wyższe niż były w 2022 roku.</w:t>
      </w:r>
      <w:r w:rsidR="00144220">
        <w:rPr>
          <w:rFonts w:ascii="Verdana" w:eastAsia="Verdana" w:hAnsi="Verdana" w:cs="Verdana"/>
        </w:rPr>
        <w:t xml:space="preserve"> Osoby zainteresowane często wstydzą się zadawać pytania w gabinetach lekarzy, a czasem jest im po prostu trudno do nich dotrzeć. Dlatego tak cenna jest poradnia internetowa.</w:t>
      </w:r>
    </w:p>
    <w:p w14:paraId="6BFE54A3" w14:textId="25DAF275" w:rsidR="00144220" w:rsidRPr="00AC352A" w:rsidRDefault="00144220" w:rsidP="001E38D3">
      <w:pPr>
        <w:spacing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„Zależy nam na tym, żeby dotrzeć do jak największej liczby osób z informacjami oraz wsparciem, jako że i jednego, i drugiego często brakuje w przestrzeni rzeczywistej. Naszym priorytetem jest zapewnienie ludziom poczucia komfortu i bezpieczeństwa. A</w:t>
      </w:r>
      <w:r w:rsidR="00C0399E">
        <w:rPr>
          <w:rFonts w:ascii="Verdana" w:eastAsia="Verdana" w:hAnsi="Verdana" w:cs="Verdana"/>
        </w:rPr>
        <w:t>le</w:t>
      </w:r>
      <w:r>
        <w:rPr>
          <w:rFonts w:ascii="Verdana" w:eastAsia="Verdana" w:hAnsi="Verdana" w:cs="Verdana"/>
        </w:rPr>
        <w:t xml:space="preserve"> przede wszystkim chcieliśmy, żeby </w:t>
      </w:r>
      <w:hyperlink r:id="rId8" w:history="1">
        <w:r w:rsidRPr="00AC352A">
          <w:rPr>
            <w:rStyle w:val="Hyperlink"/>
            <w:rFonts w:ascii="Verdana" w:hAnsi="Verdana" w:cs="Verdana"/>
          </w:rPr>
          <w:t>tytotu.pl</w:t>
        </w:r>
      </w:hyperlink>
      <w:r w:rsidRPr="00AC352A">
        <w:rPr>
          <w:rFonts w:ascii="Verdana" w:eastAsia="Verdana" w:hAnsi="Verdana" w:cs="Verdana"/>
        </w:rPr>
        <w:t xml:space="preserve"> b</w:t>
      </w:r>
      <w:r>
        <w:rPr>
          <w:rFonts w:ascii="Verdana" w:eastAsia="Verdana" w:hAnsi="Verdana" w:cs="Verdana"/>
        </w:rPr>
        <w:t>yło miejscem, które oferuje kompleksową pomoc od porady lekarza, przez wsparcie psychologiczne</w:t>
      </w:r>
      <w:r w:rsidR="00C0399E">
        <w:rPr>
          <w:rFonts w:ascii="Verdana" w:eastAsia="Verdana" w:hAnsi="Verdana" w:cs="Verdana"/>
        </w:rPr>
        <w:t xml:space="preserve"> i</w:t>
      </w:r>
      <w:r>
        <w:rPr>
          <w:rFonts w:ascii="Verdana" w:eastAsia="Verdana" w:hAnsi="Verdana" w:cs="Verdana"/>
        </w:rPr>
        <w:t xml:space="preserve"> dzielenie się doświadczeniem życia z HIV, po dostarczenie testu” – </w:t>
      </w:r>
      <w:r w:rsidR="00C0399E">
        <w:rPr>
          <w:rFonts w:ascii="Verdana" w:eastAsia="Verdana" w:hAnsi="Verdana" w:cs="Verdana"/>
        </w:rPr>
        <w:t>mówi</w:t>
      </w:r>
      <w:r>
        <w:rPr>
          <w:rFonts w:ascii="Verdana" w:eastAsia="Verdana" w:hAnsi="Verdana" w:cs="Verdana"/>
        </w:rPr>
        <w:t xml:space="preserve"> Zenon Jasyk ze Stowarzyszenia Podwale Siedem, </w:t>
      </w:r>
      <w:r w:rsidR="00292524">
        <w:rPr>
          <w:rFonts w:ascii="Verdana" w:eastAsia="Verdana" w:hAnsi="Verdana" w:cs="Verdana"/>
        </w:rPr>
        <w:t xml:space="preserve">pomysłodawca </w:t>
      </w:r>
      <w:r w:rsidR="00C0399E">
        <w:rPr>
          <w:rFonts w:ascii="Verdana" w:eastAsia="Verdana" w:hAnsi="Verdana" w:cs="Verdana"/>
        </w:rPr>
        <w:t>projektu</w:t>
      </w:r>
      <w:r w:rsidRPr="00AC352A">
        <w:rPr>
          <w:rFonts w:ascii="Verdana" w:eastAsia="Verdana" w:hAnsi="Verdana" w:cs="Verdana"/>
        </w:rPr>
        <w:t>.</w:t>
      </w:r>
    </w:p>
    <w:p w14:paraId="16A0195A" w14:textId="2A978269" w:rsidR="0082619D" w:rsidRDefault="00A80274" w:rsidP="001E38D3">
      <w:pPr>
        <w:spacing w:after="120" w:line="240" w:lineRule="auto"/>
        <w:jc w:val="both"/>
        <w:rPr>
          <w:rFonts w:ascii="Verdana" w:eastAsia="Verdana" w:hAnsi="Verdana" w:cs="Verdana"/>
        </w:rPr>
      </w:pPr>
      <w:r w:rsidRPr="00AC352A">
        <w:rPr>
          <w:rFonts w:ascii="Verdana" w:eastAsia="Verdana" w:hAnsi="Verdana" w:cs="Verdana"/>
        </w:rPr>
        <w:t xml:space="preserve">W poradni </w:t>
      </w:r>
      <w:hyperlink r:id="rId9" w:history="1">
        <w:r w:rsidR="00585C9C" w:rsidRPr="00AC352A">
          <w:rPr>
            <w:rStyle w:val="Hyperlink"/>
            <w:rFonts w:ascii="Verdana" w:hAnsi="Verdana" w:cs="Verdana"/>
          </w:rPr>
          <w:t>tytotu.pl</w:t>
        </w:r>
      </w:hyperlink>
      <w:r w:rsidR="00585C9C" w:rsidRPr="00AC352A">
        <w:rPr>
          <w:rFonts w:ascii="Verdana" w:hAnsi="Verdana" w:cs="Verdana"/>
        </w:rPr>
        <w:t xml:space="preserve"> </w:t>
      </w:r>
      <w:r w:rsidRPr="00AC352A">
        <w:rPr>
          <w:rFonts w:ascii="Verdana" w:eastAsia="Verdana" w:hAnsi="Verdana" w:cs="Verdana"/>
        </w:rPr>
        <w:t xml:space="preserve">można </w:t>
      </w:r>
      <w:r w:rsidR="00061200" w:rsidRPr="00AC352A">
        <w:rPr>
          <w:rFonts w:ascii="Verdana" w:eastAsia="Verdana" w:hAnsi="Verdana" w:cs="Verdana"/>
        </w:rPr>
        <w:t>wybrać formę kontaktu</w:t>
      </w:r>
      <w:r w:rsidR="0060676E" w:rsidRPr="00AC352A">
        <w:rPr>
          <w:rFonts w:ascii="Verdana" w:eastAsia="Verdana" w:hAnsi="Verdana" w:cs="Verdana"/>
        </w:rPr>
        <w:t xml:space="preserve"> – telefon lub e-mail</w:t>
      </w:r>
      <w:r w:rsidR="00061200" w:rsidRPr="00AC352A">
        <w:rPr>
          <w:rFonts w:ascii="Verdana" w:eastAsia="Verdana" w:hAnsi="Verdana" w:cs="Verdana"/>
        </w:rPr>
        <w:t>, a</w:t>
      </w:r>
      <w:r w:rsidR="0060676E" w:rsidRPr="00AC352A">
        <w:rPr>
          <w:rFonts w:ascii="Verdana" w:eastAsia="Verdana" w:hAnsi="Verdana" w:cs="Verdana"/>
        </w:rPr>
        <w:t> </w:t>
      </w:r>
      <w:r w:rsidR="00144220" w:rsidRPr="00AC352A">
        <w:rPr>
          <w:rFonts w:ascii="Verdana" w:eastAsia="Verdana" w:hAnsi="Verdana" w:cs="Verdana"/>
        </w:rPr>
        <w:t>także</w:t>
      </w:r>
      <w:r w:rsidR="00061200" w:rsidRPr="00AC352A">
        <w:rPr>
          <w:rFonts w:ascii="Verdana" w:eastAsia="Verdana" w:hAnsi="Verdana" w:cs="Verdana"/>
        </w:rPr>
        <w:t xml:space="preserve"> język</w:t>
      </w:r>
      <w:r w:rsidR="00144220" w:rsidRPr="00AC352A">
        <w:rPr>
          <w:rFonts w:ascii="Verdana" w:eastAsia="Verdana" w:hAnsi="Verdana" w:cs="Verdana"/>
        </w:rPr>
        <w:t>. Z</w:t>
      </w:r>
      <w:r w:rsidR="00061200" w:rsidRPr="00AC352A">
        <w:rPr>
          <w:rFonts w:ascii="Verdana" w:eastAsia="Verdana" w:hAnsi="Verdana" w:cs="Verdana"/>
        </w:rPr>
        <w:t>e specjalistami można</w:t>
      </w:r>
      <w:r w:rsidR="00061200">
        <w:rPr>
          <w:rFonts w:ascii="Verdana" w:eastAsia="Verdana" w:hAnsi="Verdana" w:cs="Verdana"/>
        </w:rPr>
        <w:t xml:space="preserve"> porozmawiać po polsku i</w:t>
      </w:r>
      <w:r w:rsidR="0060676E">
        <w:rPr>
          <w:rFonts w:ascii="Verdana" w:eastAsia="Verdana" w:hAnsi="Verdana" w:cs="Verdana"/>
        </w:rPr>
        <w:t> </w:t>
      </w:r>
      <w:r w:rsidR="00061200">
        <w:rPr>
          <w:rFonts w:ascii="Verdana" w:eastAsia="Verdana" w:hAnsi="Verdana" w:cs="Verdana"/>
        </w:rPr>
        <w:t>ukraińsku</w:t>
      </w:r>
      <w:r w:rsidR="00144220">
        <w:rPr>
          <w:rFonts w:ascii="Verdana" w:eastAsia="Verdana" w:hAnsi="Verdana" w:cs="Verdana"/>
        </w:rPr>
        <w:t>:</w:t>
      </w:r>
      <w:r w:rsidR="00061200" w:rsidRPr="0082619D">
        <w:rPr>
          <w:rFonts w:ascii="Verdana" w:eastAsia="Verdana" w:hAnsi="Verdana" w:cs="Verdana"/>
        </w:rPr>
        <w:t xml:space="preserve"> </w:t>
      </w:r>
      <w:r w:rsidR="0082619D" w:rsidRPr="0082619D">
        <w:rPr>
          <w:rFonts w:ascii="Verdana" w:hAnsi="Verdana"/>
        </w:rPr>
        <w:t xml:space="preserve">dr </w:t>
      </w:r>
      <w:proofErr w:type="spellStart"/>
      <w:r w:rsidR="0082619D" w:rsidRPr="0082619D">
        <w:rPr>
          <w:rFonts w:ascii="Verdana" w:hAnsi="Verdana"/>
        </w:rPr>
        <w:t>Olena</w:t>
      </w:r>
      <w:proofErr w:type="spellEnd"/>
      <w:r w:rsidR="0082619D" w:rsidRPr="0082619D">
        <w:rPr>
          <w:rFonts w:ascii="Verdana" w:hAnsi="Verdana"/>
        </w:rPr>
        <w:t xml:space="preserve"> Stankiewicz jest lekarzem ze specjalizacją z chorób zakaźnych</w:t>
      </w:r>
      <w:r w:rsidR="00396401">
        <w:rPr>
          <w:rFonts w:ascii="Verdana" w:hAnsi="Verdana"/>
        </w:rPr>
        <w:t xml:space="preserve"> i</w:t>
      </w:r>
      <w:r w:rsidR="0082619D" w:rsidRPr="0082619D">
        <w:rPr>
          <w:rFonts w:ascii="Verdana" w:hAnsi="Verdana"/>
        </w:rPr>
        <w:t xml:space="preserve"> pochodzi z Ukrainy. </w:t>
      </w:r>
      <w:r w:rsidR="00C0399E">
        <w:rPr>
          <w:rFonts w:ascii="Verdana" w:hAnsi="Verdana"/>
        </w:rPr>
        <w:t>W</w:t>
      </w:r>
      <w:r w:rsidR="0082619D" w:rsidRPr="0082619D">
        <w:rPr>
          <w:rFonts w:ascii="Verdana" w:hAnsi="Verdana"/>
        </w:rPr>
        <w:t xml:space="preserve"> języku ukraińskim </w:t>
      </w:r>
      <w:r w:rsidR="00C0399E" w:rsidRPr="0082619D">
        <w:rPr>
          <w:rFonts w:ascii="Verdana" w:hAnsi="Verdana"/>
        </w:rPr>
        <w:t xml:space="preserve">wsparcia </w:t>
      </w:r>
      <w:r w:rsidR="0082619D" w:rsidRPr="0082619D">
        <w:rPr>
          <w:rFonts w:ascii="Verdana" w:hAnsi="Verdana"/>
        </w:rPr>
        <w:t xml:space="preserve">udziela również </w:t>
      </w:r>
      <w:r w:rsidR="00144220" w:rsidRPr="0082619D">
        <w:rPr>
          <w:rFonts w:ascii="Verdana" w:hAnsi="Verdana"/>
        </w:rPr>
        <w:t>Alin</w:t>
      </w:r>
      <w:r w:rsidR="00144220">
        <w:rPr>
          <w:rFonts w:ascii="Verdana" w:hAnsi="Verdana"/>
        </w:rPr>
        <w:t>a</w:t>
      </w:r>
      <w:r w:rsidR="00144220" w:rsidRPr="0082619D">
        <w:rPr>
          <w:rFonts w:ascii="Verdana" w:hAnsi="Verdana"/>
        </w:rPr>
        <w:t xml:space="preserve"> Bondarczuk</w:t>
      </w:r>
      <w:r w:rsidR="00144220">
        <w:rPr>
          <w:rFonts w:ascii="Verdana" w:hAnsi="Verdana"/>
        </w:rPr>
        <w:t xml:space="preserve">, </w:t>
      </w:r>
      <w:r w:rsidR="0082619D" w:rsidRPr="0082619D">
        <w:rPr>
          <w:rFonts w:ascii="Verdana" w:hAnsi="Verdana"/>
        </w:rPr>
        <w:t>pielęgniarka z SPZOZ Wrocławskie</w:t>
      </w:r>
      <w:r w:rsidR="00144220">
        <w:rPr>
          <w:rFonts w:ascii="Verdana" w:hAnsi="Verdana"/>
        </w:rPr>
        <w:t>go</w:t>
      </w:r>
      <w:r w:rsidR="0082619D" w:rsidRPr="0082619D">
        <w:rPr>
          <w:rFonts w:ascii="Verdana" w:hAnsi="Verdana"/>
        </w:rPr>
        <w:t xml:space="preserve"> Centrum Zdrowia. </w:t>
      </w:r>
      <w:r w:rsidR="0082619D">
        <w:rPr>
          <w:rFonts w:ascii="Verdana" w:hAnsi="Verdana"/>
        </w:rPr>
        <w:t xml:space="preserve">Z osobami niesłyszącymi porozmawiać może w polskim języku migowym </w:t>
      </w:r>
      <w:r w:rsidR="00396401">
        <w:rPr>
          <w:rFonts w:ascii="Verdana" w:hAnsi="Verdana"/>
        </w:rPr>
        <w:t xml:space="preserve">Paweł Zięba, </w:t>
      </w:r>
      <w:r w:rsidR="0082619D">
        <w:rPr>
          <w:rFonts w:ascii="Verdana" w:hAnsi="Verdana"/>
        </w:rPr>
        <w:t>asystent osób żyjących z HIV, edukator seksualny</w:t>
      </w:r>
      <w:r w:rsidR="00396401">
        <w:rPr>
          <w:rFonts w:ascii="Verdana" w:hAnsi="Verdana"/>
        </w:rPr>
        <w:t>.</w:t>
      </w:r>
    </w:p>
    <w:p w14:paraId="16F93F8E" w14:textId="7D563077" w:rsidR="00585C9C" w:rsidRPr="00585C9C" w:rsidRDefault="00396401" w:rsidP="001E38D3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J</w:t>
      </w:r>
      <w:r w:rsidR="00585C9C">
        <w:rPr>
          <w:rFonts w:ascii="Verdana" w:hAnsi="Verdana"/>
        </w:rPr>
        <w:t xml:space="preserve">eśli ktoś szuka pomocy blisko swojego miejsca zamieszkania, to </w:t>
      </w:r>
      <w:r w:rsidR="00144220">
        <w:rPr>
          <w:rFonts w:ascii="Verdana" w:hAnsi="Verdana"/>
        </w:rPr>
        <w:t xml:space="preserve">– </w:t>
      </w:r>
      <w:r w:rsidR="00585C9C">
        <w:rPr>
          <w:rFonts w:ascii="Verdana" w:hAnsi="Verdana"/>
        </w:rPr>
        <w:t xml:space="preserve">jak </w:t>
      </w:r>
      <w:r w:rsidR="00C0399E">
        <w:rPr>
          <w:rFonts w:ascii="Verdana" w:hAnsi="Verdana"/>
        </w:rPr>
        <w:t>zapewnia</w:t>
      </w:r>
      <w:r w:rsidR="00585C9C">
        <w:rPr>
          <w:rFonts w:ascii="Verdana" w:hAnsi="Verdana"/>
        </w:rPr>
        <w:t xml:space="preserve"> Zenon Jasyk „dzięki sieci wsparcia i powiązań z innymi organizacjami zawsze znajdziemy pomoc </w:t>
      </w:r>
      <w:r w:rsidR="00585C9C">
        <w:rPr>
          <w:rFonts w:ascii="Verdana" w:hAnsi="Verdana"/>
        </w:rPr>
        <w:lastRenderedPageBreak/>
        <w:t>tam, gdzie jest ona potrzebna</w:t>
      </w:r>
      <w:r w:rsidR="00C0399E">
        <w:rPr>
          <w:rFonts w:ascii="Verdana" w:hAnsi="Verdana"/>
        </w:rPr>
        <w:t>, więc w</w:t>
      </w:r>
      <w:r w:rsidR="00585C9C">
        <w:rPr>
          <w:rFonts w:ascii="Verdana" w:hAnsi="Verdana"/>
        </w:rPr>
        <w:t>ystarczy do nas napisać – na stronie poradni, na Instagramie bądź Facebooku.”</w:t>
      </w:r>
    </w:p>
    <w:p w14:paraId="7307E45A" w14:textId="77E67CF7" w:rsidR="00F7448A" w:rsidRPr="0082619D" w:rsidRDefault="003C1431" w:rsidP="00585C9C">
      <w:pPr>
        <w:spacing w:after="120" w:line="240" w:lineRule="auto"/>
        <w:jc w:val="both"/>
        <w:rPr>
          <w:rFonts w:ascii="Verdana" w:hAnsi="Verdana" w:cs="Verdana"/>
        </w:rPr>
      </w:pPr>
      <w:r w:rsidRPr="0082619D">
        <w:rPr>
          <w:rFonts w:ascii="Verdana" w:eastAsia="Verdana" w:hAnsi="Verdana" w:cs="Verdana"/>
        </w:rPr>
        <w:t>„</w:t>
      </w:r>
      <w:r w:rsidR="00AC352A">
        <w:rPr>
          <w:rFonts w:ascii="Verdana" w:eastAsia="Verdana" w:hAnsi="Verdana" w:cs="Verdana"/>
        </w:rPr>
        <w:t xml:space="preserve">Poradnia internetowa </w:t>
      </w:r>
      <w:hyperlink r:id="rId10" w:history="1">
        <w:r w:rsidR="00AC352A" w:rsidRPr="00AC352A">
          <w:rPr>
            <w:rStyle w:val="Hyperlink"/>
            <w:rFonts w:ascii="Verdana" w:hAnsi="Verdana"/>
          </w:rPr>
          <w:t>tytotu.pl</w:t>
        </w:r>
      </w:hyperlink>
      <w:r w:rsidR="00AC352A">
        <w:rPr>
          <w:rFonts w:ascii="Verdana" w:hAnsi="Verdana"/>
        </w:rPr>
        <w:t xml:space="preserve"> nie tylko odpowiada </w:t>
      </w:r>
      <w:r w:rsidRPr="0082619D">
        <w:rPr>
          <w:rFonts w:ascii="Verdana" w:hAnsi="Verdana" w:cs="Verdana"/>
        </w:rPr>
        <w:t xml:space="preserve">na </w:t>
      </w:r>
      <w:r w:rsidR="00C0399E">
        <w:rPr>
          <w:rFonts w:ascii="Verdana" w:hAnsi="Verdana" w:cs="Verdana"/>
        </w:rPr>
        <w:t>potrzebę</w:t>
      </w:r>
      <w:r w:rsidRPr="0082619D">
        <w:rPr>
          <w:rFonts w:ascii="Verdana" w:hAnsi="Verdana" w:cs="Verdana"/>
        </w:rPr>
        <w:t xml:space="preserve"> rzeteln</w:t>
      </w:r>
      <w:r w:rsidR="00C0399E">
        <w:rPr>
          <w:rFonts w:ascii="Verdana" w:hAnsi="Verdana" w:cs="Verdana"/>
        </w:rPr>
        <w:t>ej</w:t>
      </w:r>
      <w:r w:rsidRPr="0082619D">
        <w:rPr>
          <w:rFonts w:ascii="Verdana" w:hAnsi="Verdana" w:cs="Verdana"/>
        </w:rPr>
        <w:t xml:space="preserve"> informacj</w:t>
      </w:r>
      <w:r w:rsidR="00C0399E">
        <w:rPr>
          <w:rFonts w:ascii="Verdana" w:hAnsi="Verdana" w:cs="Verdana"/>
        </w:rPr>
        <w:t>i</w:t>
      </w:r>
      <w:r w:rsidRPr="0082619D">
        <w:rPr>
          <w:rFonts w:ascii="Verdana" w:hAnsi="Verdana" w:cs="Verdana"/>
        </w:rPr>
        <w:t xml:space="preserve"> na temat zdrowia seksualnego</w:t>
      </w:r>
      <w:r w:rsidR="00C0399E">
        <w:rPr>
          <w:rFonts w:ascii="Verdana" w:hAnsi="Verdana" w:cs="Verdana"/>
        </w:rPr>
        <w:t>, a w szczególności HIV</w:t>
      </w:r>
      <w:r w:rsidR="00144220">
        <w:rPr>
          <w:rFonts w:ascii="Verdana" w:hAnsi="Verdana" w:cs="Verdana"/>
        </w:rPr>
        <w:t>, ale r</w:t>
      </w:r>
      <w:r w:rsidRPr="0082619D">
        <w:rPr>
          <w:rFonts w:ascii="Verdana" w:hAnsi="Verdana" w:cs="Verdana"/>
        </w:rPr>
        <w:t>ównież</w:t>
      </w:r>
      <w:r w:rsidR="00144220">
        <w:rPr>
          <w:rFonts w:ascii="Verdana" w:hAnsi="Verdana" w:cs="Verdana"/>
        </w:rPr>
        <w:t>, a może przede wszystkim</w:t>
      </w:r>
      <w:r w:rsidR="00C0399E">
        <w:rPr>
          <w:rFonts w:ascii="Verdana" w:hAnsi="Verdana" w:cs="Verdana"/>
        </w:rPr>
        <w:t>, oferuje</w:t>
      </w:r>
      <w:r w:rsidRPr="0082619D">
        <w:rPr>
          <w:rFonts w:ascii="Verdana" w:hAnsi="Verdana" w:cs="Verdana"/>
        </w:rPr>
        <w:t xml:space="preserve"> możliwość szybkiej i </w:t>
      </w:r>
      <w:r w:rsidR="00396401">
        <w:rPr>
          <w:rFonts w:ascii="Verdana" w:hAnsi="Verdana" w:cs="Verdana"/>
        </w:rPr>
        <w:t>bezpiecznej</w:t>
      </w:r>
      <w:r w:rsidRPr="0082619D">
        <w:rPr>
          <w:rFonts w:ascii="Verdana" w:hAnsi="Verdana" w:cs="Verdana"/>
        </w:rPr>
        <w:t xml:space="preserve"> konsultacji </w:t>
      </w:r>
      <w:r w:rsidR="00144220">
        <w:rPr>
          <w:rFonts w:ascii="Verdana" w:hAnsi="Verdana" w:cs="Verdana"/>
        </w:rPr>
        <w:t xml:space="preserve">online </w:t>
      </w:r>
      <w:r w:rsidRPr="0082619D">
        <w:rPr>
          <w:rFonts w:ascii="Verdana" w:hAnsi="Verdana" w:cs="Verdana"/>
        </w:rPr>
        <w:t>z licznymi specjalistami</w:t>
      </w:r>
      <w:r w:rsidR="00C0399E">
        <w:rPr>
          <w:rFonts w:ascii="Verdana" w:hAnsi="Verdana" w:cs="Verdana"/>
        </w:rPr>
        <w:t>. Jest to</w:t>
      </w:r>
      <w:r w:rsidRPr="0082619D">
        <w:rPr>
          <w:rFonts w:ascii="Verdana" w:hAnsi="Verdana" w:cs="Verdana"/>
        </w:rPr>
        <w:t xml:space="preserve"> rzecz nie do przecenienia w naszym zabieganym świecie</w:t>
      </w:r>
      <w:r w:rsidR="00C0399E">
        <w:rPr>
          <w:rFonts w:ascii="Verdana" w:hAnsi="Verdana" w:cs="Verdana"/>
        </w:rPr>
        <w:t>, w  którym nie udało się jeszcze całkowicie rozwiązać problemu stygmatyzacji osób seropozytywnych</w:t>
      </w:r>
      <w:r w:rsidR="00F7448A" w:rsidRPr="0082619D">
        <w:rPr>
          <w:rFonts w:ascii="Verdana" w:hAnsi="Verdana" w:cs="Verdana"/>
        </w:rPr>
        <w:t xml:space="preserve">” – </w:t>
      </w:r>
      <w:r w:rsidR="00C0399E">
        <w:rPr>
          <w:rFonts w:ascii="Verdana" w:hAnsi="Verdana" w:cs="Verdana"/>
        </w:rPr>
        <w:t>podsumował</w:t>
      </w:r>
      <w:r w:rsidR="00F7448A" w:rsidRPr="0082619D">
        <w:rPr>
          <w:rFonts w:ascii="Verdana" w:hAnsi="Verdana" w:cs="Verdana"/>
        </w:rPr>
        <w:t xml:space="preserve"> Paweł Mierzejewski z</w:t>
      </w:r>
      <w:r w:rsidR="005C0168" w:rsidRPr="0082619D">
        <w:rPr>
          <w:rFonts w:ascii="Verdana" w:hAnsi="Verdana" w:cs="Verdana"/>
        </w:rPr>
        <w:t> </w:t>
      </w:r>
      <w:r w:rsidR="00F7448A" w:rsidRPr="0082619D">
        <w:rPr>
          <w:rFonts w:ascii="Verdana" w:hAnsi="Verdana" w:cs="Verdana"/>
        </w:rPr>
        <w:t xml:space="preserve">Gilead </w:t>
      </w:r>
      <w:proofErr w:type="spellStart"/>
      <w:r w:rsidR="00F7448A" w:rsidRPr="0082619D">
        <w:rPr>
          <w:rFonts w:ascii="Verdana" w:hAnsi="Verdana" w:cs="Verdana"/>
        </w:rPr>
        <w:t>Sciences</w:t>
      </w:r>
      <w:proofErr w:type="spellEnd"/>
      <w:r w:rsidR="00F7448A" w:rsidRPr="0082619D">
        <w:rPr>
          <w:rFonts w:ascii="Verdana" w:hAnsi="Verdana" w:cs="Verdana"/>
        </w:rPr>
        <w:t>, koordynat</w:t>
      </w:r>
      <w:r w:rsidR="00144BFE" w:rsidRPr="0082619D">
        <w:rPr>
          <w:rFonts w:ascii="Verdana" w:hAnsi="Verdana" w:cs="Verdana"/>
        </w:rPr>
        <w:t>or programu Pozytywnie Otwarci.</w:t>
      </w:r>
    </w:p>
    <w:p w14:paraId="10D052A0" w14:textId="77777777" w:rsidR="00F7448A" w:rsidRPr="0082619D" w:rsidRDefault="00F7448A" w:rsidP="00144BFE">
      <w:pPr>
        <w:spacing w:afterLines="60" w:after="144" w:line="240" w:lineRule="auto"/>
        <w:jc w:val="center"/>
        <w:rPr>
          <w:rFonts w:ascii="Verdana" w:hAnsi="Verdana" w:cs="Verdana"/>
        </w:rPr>
      </w:pPr>
      <w:r w:rsidRPr="0082619D">
        <w:rPr>
          <w:rFonts w:ascii="Verdana" w:hAnsi="Verdana" w:cs="Verdana"/>
        </w:rPr>
        <w:t>***</w:t>
      </w:r>
    </w:p>
    <w:p w14:paraId="22FE7667" w14:textId="77777777" w:rsidR="003C1431" w:rsidRPr="0082619D" w:rsidRDefault="003C1431" w:rsidP="003C1431">
      <w:pPr>
        <w:pStyle w:val="Standard"/>
        <w:autoSpaceDE w:val="0"/>
        <w:spacing w:before="120" w:line="260" w:lineRule="atLeast"/>
        <w:ind w:right="423"/>
        <w:jc w:val="both"/>
        <w:rPr>
          <w:rFonts w:ascii="Verdana" w:hAnsi="Verdana" w:cs="Verdana"/>
          <w:b/>
          <w:sz w:val="22"/>
          <w:szCs w:val="22"/>
        </w:rPr>
      </w:pPr>
      <w:r w:rsidRPr="0082619D">
        <w:rPr>
          <w:rFonts w:ascii="Verdana" w:hAnsi="Verdana" w:cs="Verdana"/>
          <w:b/>
          <w:sz w:val="22"/>
          <w:szCs w:val="22"/>
        </w:rPr>
        <w:t>Konkurs Pozytywnie Otwarci</w:t>
      </w:r>
    </w:p>
    <w:p w14:paraId="171122B0" w14:textId="77777777" w:rsidR="003C1431" w:rsidRPr="00FB3549" w:rsidRDefault="003C1431" w:rsidP="003C1431">
      <w:pPr>
        <w:pStyle w:val="Standard"/>
        <w:spacing w:before="120" w:after="160" w:line="260" w:lineRule="atLeast"/>
        <w:ind w:right="-35"/>
        <w:jc w:val="both"/>
        <w:rPr>
          <w:rFonts w:ascii="Verdana" w:hAnsi="Verdana" w:cs="Verdana"/>
          <w:sz w:val="20"/>
          <w:szCs w:val="20"/>
        </w:rPr>
      </w:pPr>
      <w:r w:rsidRPr="00FB3549">
        <w:rPr>
          <w:rFonts w:ascii="Verdana" w:hAnsi="Verdana"/>
          <w:sz w:val="20"/>
          <w:szCs w:val="20"/>
          <w:lang w:eastAsia="pl-PL"/>
        </w:rPr>
        <w:t xml:space="preserve">Konkurs Pozytywnie Otwarci to najstarszy nieprzerwanie działający projekt grantowy skupiający się na edukacji i profilaktyce zakażeń HIV, a także promocji wiedzy </w:t>
      </w:r>
      <w:r w:rsidRPr="00FB3549">
        <w:rPr>
          <w:rFonts w:ascii="Verdana" w:hAnsi="Verdana" w:cs="Verdana"/>
          <w:sz w:val="20"/>
          <w:szCs w:val="20"/>
        </w:rPr>
        <w:t xml:space="preserve">o możliwościach normalnego życia z wirusem. Konkurs otwarty jest dla instytucji, które chciałyby prowadzić lub już prowadzą programy w obszarach edukacji i aktywizacji, a także profilaktyki i diagnostyki HIV/AIDS. Partnerami Programu są Prezydent m.st. Warszawy, Krajowe Centrum ds. AIDS, Narodowy Instytut Zdrowia Publicznego – PZH, „Służba Zdrowia”, wydawnictwo </w:t>
      </w:r>
      <w:proofErr w:type="spellStart"/>
      <w:r w:rsidRPr="00FB3549">
        <w:rPr>
          <w:rFonts w:ascii="Verdana" w:hAnsi="Verdana" w:cs="Verdana"/>
          <w:sz w:val="20"/>
          <w:szCs w:val="20"/>
        </w:rPr>
        <w:t>Termedia</w:t>
      </w:r>
      <w:proofErr w:type="spellEnd"/>
      <w:r w:rsidRPr="00FB3549">
        <w:rPr>
          <w:rFonts w:ascii="Verdana" w:hAnsi="Verdana" w:cs="Verdana"/>
          <w:sz w:val="20"/>
          <w:szCs w:val="20"/>
        </w:rPr>
        <w:t xml:space="preserve"> oraz firma Gilead </w:t>
      </w:r>
      <w:proofErr w:type="spellStart"/>
      <w:r w:rsidRPr="00FB3549">
        <w:rPr>
          <w:rFonts w:ascii="Verdana" w:hAnsi="Verdana" w:cs="Verdana"/>
          <w:sz w:val="20"/>
          <w:szCs w:val="20"/>
        </w:rPr>
        <w:t>Sciences</w:t>
      </w:r>
      <w:proofErr w:type="spellEnd"/>
      <w:r w:rsidRPr="00FB3549">
        <w:rPr>
          <w:rFonts w:ascii="Verdana" w:hAnsi="Verdana" w:cs="Verdana"/>
          <w:sz w:val="20"/>
          <w:szCs w:val="20"/>
        </w:rPr>
        <w:t>, która</w:t>
      </w:r>
      <w:r>
        <w:rPr>
          <w:rFonts w:ascii="Verdana" w:hAnsi="Verdana" w:cs="Verdana"/>
          <w:sz w:val="20"/>
          <w:szCs w:val="20"/>
        </w:rPr>
        <w:t xml:space="preserve"> od 2011 roku </w:t>
      </w:r>
      <w:r w:rsidRPr="00FB3549">
        <w:rPr>
          <w:rFonts w:ascii="Verdana" w:hAnsi="Verdana" w:cs="Verdana"/>
          <w:sz w:val="20"/>
          <w:szCs w:val="20"/>
        </w:rPr>
        <w:t xml:space="preserve">przeznaczyła </w:t>
      </w:r>
      <w:r>
        <w:rPr>
          <w:rFonts w:ascii="Verdana" w:hAnsi="Verdana" w:cs="Verdana"/>
          <w:sz w:val="20"/>
          <w:szCs w:val="20"/>
        </w:rPr>
        <w:t>niemal 3 miliony</w:t>
      </w:r>
      <w:r w:rsidRPr="00FB3549">
        <w:rPr>
          <w:rFonts w:ascii="Verdana" w:hAnsi="Verdana" w:cs="Verdana"/>
          <w:sz w:val="20"/>
          <w:szCs w:val="20"/>
        </w:rPr>
        <w:t xml:space="preserve"> złotych na granty pozwalające realizować projekty konkursowe.</w:t>
      </w:r>
    </w:p>
    <w:p w14:paraId="076C888B" w14:textId="77777777" w:rsidR="003C1431" w:rsidRPr="00666DFA" w:rsidRDefault="003C1431" w:rsidP="003C1431">
      <w:pPr>
        <w:spacing w:beforeLines="120" w:before="288" w:afterLines="120" w:after="288"/>
        <w:jc w:val="both"/>
        <w:rPr>
          <w:rFonts w:ascii="Verdana" w:hAnsi="Verdana"/>
          <w:b/>
          <w:bCs/>
          <w:i/>
          <w:iCs/>
          <w:sz w:val="18"/>
          <w:szCs w:val="20"/>
        </w:rPr>
      </w:pPr>
      <w:r w:rsidRPr="00666DFA">
        <w:rPr>
          <w:rFonts w:ascii="Verdana" w:hAnsi="Verdana"/>
          <w:b/>
          <w:bCs/>
          <w:i/>
          <w:iCs/>
          <w:sz w:val="18"/>
          <w:szCs w:val="20"/>
        </w:rPr>
        <w:t>Dodatkowych informacji udziela:</w:t>
      </w:r>
    </w:p>
    <w:p w14:paraId="69BEDE5D" w14:textId="77777777" w:rsidR="003C1431" w:rsidRPr="00666DFA" w:rsidRDefault="003C1431" w:rsidP="003C1431">
      <w:pPr>
        <w:spacing w:after="0"/>
        <w:ind w:right="425"/>
        <w:rPr>
          <w:rFonts w:ascii="Verdana" w:hAnsi="Verdana"/>
          <w:sz w:val="18"/>
          <w:szCs w:val="20"/>
        </w:rPr>
      </w:pPr>
      <w:r w:rsidRPr="00666DFA">
        <w:rPr>
          <w:rFonts w:ascii="Verdana" w:hAnsi="Verdana"/>
          <w:sz w:val="18"/>
          <w:szCs w:val="20"/>
        </w:rPr>
        <w:t>Mariola Sarnowska</w:t>
      </w:r>
    </w:p>
    <w:p w14:paraId="5A657385" w14:textId="77777777" w:rsidR="003C1431" w:rsidRPr="00666DFA" w:rsidRDefault="003C1431" w:rsidP="003C1431">
      <w:pPr>
        <w:spacing w:after="0"/>
        <w:ind w:right="425"/>
        <w:rPr>
          <w:rFonts w:ascii="Verdana" w:hAnsi="Verdana"/>
          <w:sz w:val="18"/>
          <w:szCs w:val="20"/>
        </w:rPr>
      </w:pPr>
      <w:r w:rsidRPr="00666DFA">
        <w:rPr>
          <w:rFonts w:ascii="Verdana" w:hAnsi="Verdana"/>
          <w:sz w:val="18"/>
          <w:szCs w:val="20"/>
        </w:rPr>
        <w:t>Biuro Organizacyjne Pozytywnie Otwarci</w:t>
      </w:r>
    </w:p>
    <w:p w14:paraId="010D9813" w14:textId="77777777" w:rsidR="003C1431" w:rsidRPr="00666DFA" w:rsidRDefault="003C1431" w:rsidP="003C1431">
      <w:pPr>
        <w:spacing w:after="0"/>
        <w:ind w:right="425"/>
        <w:rPr>
          <w:rFonts w:ascii="Verdana" w:hAnsi="Verdana"/>
          <w:sz w:val="18"/>
          <w:szCs w:val="20"/>
          <w:lang w:val="de-DE"/>
        </w:rPr>
      </w:pPr>
      <w:proofErr w:type="spellStart"/>
      <w:r w:rsidRPr="00666DFA">
        <w:rPr>
          <w:rFonts w:ascii="Verdana" w:hAnsi="Verdana"/>
          <w:sz w:val="18"/>
          <w:szCs w:val="20"/>
          <w:lang w:val="de-DE"/>
        </w:rPr>
        <w:t>tel</w:t>
      </w:r>
      <w:proofErr w:type="spellEnd"/>
      <w:r w:rsidRPr="00666DFA">
        <w:rPr>
          <w:rFonts w:ascii="Verdana" w:hAnsi="Verdana"/>
          <w:sz w:val="18"/>
          <w:szCs w:val="20"/>
          <w:lang w:val="de-DE"/>
        </w:rPr>
        <w:t>: +48 502 213 047</w:t>
      </w:r>
    </w:p>
    <w:p w14:paraId="018FD3D1" w14:textId="77777777" w:rsidR="003C1431" w:rsidRPr="00666DFA" w:rsidRDefault="00B21CDA" w:rsidP="003C1431">
      <w:pPr>
        <w:spacing w:after="0"/>
        <w:jc w:val="both"/>
        <w:rPr>
          <w:rFonts w:ascii="Verdana" w:hAnsi="Verdana"/>
          <w:sz w:val="18"/>
          <w:szCs w:val="20"/>
          <w:lang w:val="de-DE"/>
        </w:rPr>
      </w:pPr>
      <w:hyperlink r:id="rId11" w:history="1">
        <w:r w:rsidR="003C1431" w:rsidRPr="00666DFA">
          <w:rPr>
            <w:rStyle w:val="Hyperlink"/>
            <w:rFonts w:ascii="Verdana" w:hAnsi="Verdana"/>
            <w:sz w:val="18"/>
            <w:lang w:val="de-DE"/>
          </w:rPr>
          <w:t>biuro@pozytywnieotwarci.pl</w:t>
        </w:r>
      </w:hyperlink>
    </w:p>
    <w:p w14:paraId="05BDB446" w14:textId="77777777" w:rsidR="00F7448A" w:rsidRPr="00396401" w:rsidRDefault="00B21CDA" w:rsidP="003C1431">
      <w:pPr>
        <w:spacing w:afterLines="60" w:after="144" w:line="240" w:lineRule="auto"/>
        <w:jc w:val="both"/>
        <w:rPr>
          <w:lang w:val="de-DE"/>
        </w:rPr>
      </w:pPr>
      <w:hyperlink r:id="rId12" w:history="1">
        <w:r w:rsidR="003C1431" w:rsidRPr="005E3FB2">
          <w:rPr>
            <w:rStyle w:val="Hyperlink"/>
            <w:rFonts w:ascii="Verdana" w:hAnsi="Verdana"/>
            <w:sz w:val="18"/>
            <w:szCs w:val="20"/>
            <w:lang w:val="de-DE"/>
          </w:rPr>
          <w:t>www.pozytywnieotwarci.pl</w:t>
        </w:r>
      </w:hyperlink>
    </w:p>
    <w:sectPr w:rsidR="00F7448A" w:rsidRPr="00396401">
      <w:headerReference w:type="default" r:id="rId13"/>
      <w:footerReference w:type="default" r:id="rId14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A287" w14:textId="77777777" w:rsidR="001961D2" w:rsidRDefault="001961D2">
      <w:pPr>
        <w:spacing w:after="0" w:line="240" w:lineRule="auto"/>
      </w:pPr>
      <w:r>
        <w:separator/>
      </w:r>
    </w:p>
  </w:endnote>
  <w:endnote w:type="continuationSeparator" w:id="0">
    <w:p w14:paraId="6C340902" w14:textId="77777777" w:rsidR="001961D2" w:rsidRDefault="0019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319B" w14:textId="77777777" w:rsidR="00F7448A" w:rsidRDefault="00F7448A">
    <w:pPr>
      <w:pStyle w:val="Footer"/>
      <w:jc w:val="center"/>
    </w:pPr>
    <w:r>
      <w:rPr>
        <w:color w:val="808080"/>
      </w:rPr>
      <w:t>patronaty:</w:t>
    </w:r>
  </w:p>
  <w:p w14:paraId="61A0EA70" w14:textId="305E11A6" w:rsidR="00335F82" w:rsidRDefault="00335F82" w:rsidP="00335F82">
    <w:pPr>
      <w:pStyle w:val="Footer"/>
      <w:jc w:val="center"/>
    </w:pPr>
    <w:r>
      <w:t xml:space="preserve">         </w:t>
    </w:r>
    <w:r w:rsidR="00085549" w:rsidRPr="00D4416C">
      <w:rPr>
        <w:noProof/>
      </w:rPr>
      <w:drawing>
        <wp:inline distT="0" distB="0" distL="0" distR="0" wp14:anchorId="0CD5F95C" wp14:editId="76E0FD30">
          <wp:extent cx="426720" cy="457200"/>
          <wp:effectExtent l="0" t="0" r="0" b="0"/>
          <wp:docPr id="3" name="Obraz 39" descr="Opis: 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Opis: 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085549" w:rsidRPr="00D4416C">
      <w:rPr>
        <w:noProof/>
      </w:rPr>
      <w:drawing>
        <wp:inline distT="0" distB="0" distL="0" distR="0" wp14:anchorId="07CBFF2A" wp14:editId="4870CB90">
          <wp:extent cx="731520" cy="327660"/>
          <wp:effectExtent l="0" t="0" r="0" b="0"/>
          <wp:docPr id="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085549" w:rsidRPr="00D4416C">
      <w:rPr>
        <w:noProof/>
      </w:rPr>
      <w:drawing>
        <wp:inline distT="0" distB="0" distL="0" distR="0" wp14:anchorId="38089F56" wp14:editId="3C5B7751">
          <wp:extent cx="1211580" cy="434340"/>
          <wp:effectExtent l="0" t="0" r="0" b="0"/>
          <wp:docPr id="5" name="Obraz 38" descr="Opis: honor_patr_pol_ou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Opis: honor_patr_pol_out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EB070" w14:textId="353C6FDE" w:rsidR="00335F82" w:rsidRDefault="00085549" w:rsidP="00335F82">
    <w:pPr>
      <w:pStyle w:val="Footer"/>
      <w:jc w:val="center"/>
    </w:pPr>
    <w:r w:rsidRPr="00D4416C">
      <w:rPr>
        <w:noProof/>
      </w:rPr>
      <w:drawing>
        <wp:inline distT="0" distB="0" distL="0" distR="0" wp14:anchorId="3DD57F1C" wp14:editId="5D58DDA8">
          <wp:extent cx="944880" cy="403860"/>
          <wp:effectExtent l="0" t="0" r="0" b="0"/>
          <wp:docPr id="6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5F82">
      <w:t xml:space="preserve">                        </w:t>
    </w:r>
    <w:r w:rsidRPr="00D4416C">
      <w:rPr>
        <w:noProof/>
      </w:rPr>
      <w:drawing>
        <wp:inline distT="0" distB="0" distL="0" distR="0" wp14:anchorId="427A18FB" wp14:editId="34686678">
          <wp:extent cx="838200" cy="289560"/>
          <wp:effectExtent l="0" t="0" r="0" b="0"/>
          <wp:docPr id="7" name="Obraz 40" descr="Opis: 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Opis: 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5F82">
      <w:t xml:space="preserve">                        </w:t>
    </w:r>
    <w:r w:rsidRPr="00D4416C">
      <w:rPr>
        <w:noProof/>
      </w:rPr>
      <w:drawing>
        <wp:inline distT="0" distB="0" distL="0" distR="0" wp14:anchorId="611D3DC8" wp14:editId="6859A60A">
          <wp:extent cx="975360" cy="327660"/>
          <wp:effectExtent l="0" t="0" r="0" b="0"/>
          <wp:docPr id="8" name="Obraz 53" descr="Opis: 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Opis: 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3AC26" w14:textId="77777777" w:rsidR="00F7448A" w:rsidRDefault="00F7448A" w:rsidP="000B49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1DD5" w14:textId="77777777" w:rsidR="001961D2" w:rsidRDefault="001961D2">
      <w:pPr>
        <w:spacing w:after="0" w:line="240" w:lineRule="auto"/>
      </w:pPr>
      <w:r>
        <w:separator/>
      </w:r>
    </w:p>
  </w:footnote>
  <w:footnote w:type="continuationSeparator" w:id="0">
    <w:p w14:paraId="7AA43930" w14:textId="77777777" w:rsidR="001961D2" w:rsidRDefault="0019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417"/>
      <w:gridCol w:w="236"/>
    </w:tblGrid>
    <w:tr w:rsidR="00F7448A" w14:paraId="76ABE5CA" w14:textId="77777777">
      <w:tc>
        <w:tcPr>
          <w:tcW w:w="10417" w:type="dxa"/>
          <w:shd w:val="clear" w:color="auto" w:fill="auto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3913"/>
            <w:gridCol w:w="3595"/>
            <w:gridCol w:w="2693"/>
          </w:tblGrid>
          <w:tr w:rsidR="00F7448A" w14:paraId="6AAF3974" w14:textId="77777777">
            <w:tc>
              <w:tcPr>
                <w:tcW w:w="3913" w:type="dxa"/>
                <w:shd w:val="clear" w:color="auto" w:fill="auto"/>
              </w:tcPr>
              <w:p w14:paraId="751FDFC4" w14:textId="45F661BB" w:rsidR="00F7448A" w:rsidRDefault="00085549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napToGrid w:val="0"/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  <w:r w:rsidRPr="00CD3FC7">
                  <w:rPr>
                    <w:noProof/>
                    <w:lang w:eastAsia="pl-PL"/>
                  </w:rPr>
                  <w:drawing>
                    <wp:inline distT="0" distB="0" distL="0" distR="0" wp14:anchorId="12471F7A" wp14:editId="1946A360">
                      <wp:extent cx="1005840" cy="1219200"/>
                      <wp:effectExtent l="0" t="0" r="0" b="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584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2D86314" w14:textId="77777777" w:rsidR="00F7448A" w:rsidRDefault="00F7448A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  <w:lang w:eastAsia="pl-PL"/>
                  </w:rPr>
                </w:pPr>
              </w:p>
            </w:tc>
            <w:tc>
              <w:tcPr>
                <w:tcW w:w="3595" w:type="dxa"/>
                <w:shd w:val="clear" w:color="auto" w:fill="auto"/>
              </w:tcPr>
              <w:p w14:paraId="225DE04B" w14:textId="77777777" w:rsidR="00F7448A" w:rsidRDefault="00F7448A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napToGrid w:val="0"/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  <w:lang w:eastAsia="pl-PL"/>
                  </w:rPr>
                </w:pPr>
              </w:p>
            </w:tc>
            <w:tc>
              <w:tcPr>
                <w:tcW w:w="2693" w:type="dxa"/>
                <w:shd w:val="clear" w:color="auto" w:fill="auto"/>
              </w:tcPr>
              <w:p w14:paraId="0672518D" w14:textId="1634896F" w:rsidR="00F7448A" w:rsidRDefault="00085549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D8F4850" wp14:editId="68476682">
                      <wp:extent cx="1203960" cy="640080"/>
                      <wp:effectExtent l="0" t="0" r="0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487" t="12782" r="2441" b="1627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3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F3C0FEC" w14:textId="77777777" w:rsidR="00F7448A" w:rsidRDefault="00F7448A">
          <w:pPr>
            <w:tabs>
              <w:tab w:val="center" w:pos="4536"/>
              <w:tab w:val="left" w:pos="4820"/>
              <w:tab w:val="left" w:pos="8085"/>
              <w:tab w:val="right" w:pos="9072"/>
            </w:tabs>
            <w:spacing w:after="0"/>
            <w:ind w:right="-1667"/>
            <w:rPr>
              <w:rFonts w:ascii="Verdana" w:eastAsia="Verdana" w:hAnsi="Verdana" w:cs="Verdana"/>
              <w:sz w:val="10"/>
              <w:szCs w:val="10"/>
            </w:rPr>
          </w:pPr>
        </w:p>
      </w:tc>
      <w:tc>
        <w:tcPr>
          <w:tcW w:w="222" w:type="dxa"/>
          <w:shd w:val="clear" w:color="auto" w:fill="auto"/>
        </w:tcPr>
        <w:p w14:paraId="1E3BC972" w14:textId="77777777" w:rsidR="00F7448A" w:rsidRDefault="00F7448A">
          <w:pPr>
            <w:tabs>
              <w:tab w:val="center" w:pos="4536"/>
              <w:tab w:val="left" w:pos="8085"/>
              <w:tab w:val="right" w:pos="9072"/>
            </w:tabs>
            <w:snapToGrid w:val="0"/>
            <w:spacing w:after="0"/>
            <w:jc w:val="right"/>
            <w:rPr>
              <w:rFonts w:ascii="Verdana" w:eastAsia="Verdana" w:hAnsi="Verdana" w:cs="Verdana"/>
              <w:sz w:val="10"/>
              <w:szCs w:val="10"/>
            </w:rPr>
          </w:pPr>
        </w:p>
      </w:tc>
    </w:tr>
  </w:tbl>
  <w:p w14:paraId="3B9B6C3F" w14:textId="77777777" w:rsidR="00F7448A" w:rsidRDefault="00F7448A" w:rsidP="00DE5B3E">
    <w:pPr>
      <w:tabs>
        <w:tab w:val="center" w:pos="4536"/>
        <w:tab w:val="left" w:pos="8085"/>
        <w:tab w:val="right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D864909"/>
    <w:multiLevelType w:val="hybridMultilevel"/>
    <w:tmpl w:val="41D04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4E9"/>
    <w:multiLevelType w:val="hybridMultilevel"/>
    <w:tmpl w:val="5628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C3B34"/>
    <w:multiLevelType w:val="hybridMultilevel"/>
    <w:tmpl w:val="CF600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5071">
    <w:abstractNumId w:val="0"/>
  </w:num>
  <w:num w:numId="2" w16cid:durableId="1000933246">
    <w:abstractNumId w:val="1"/>
  </w:num>
  <w:num w:numId="3" w16cid:durableId="575745154">
    <w:abstractNumId w:val="2"/>
  </w:num>
  <w:num w:numId="4" w16cid:durableId="555314156">
    <w:abstractNumId w:val="3"/>
  </w:num>
  <w:num w:numId="5" w16cid:durableId="210967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2E"/>
    <w:rsid w:val="00021169"/>
    <w:rsid w:val="00061200"/>
    <w:rsid w:val="000709C4"/>
    <w:rsid w:val="00085549"/>
    <w:rsid w:val="000B492B"/>
    <w:rsid w:val="000C6E61"/>
    <w:rsid w:val="000D79C2"/>
    <w:rsid w:val="0011553E"/>
    <w:rsid w:val="0013135F"/>
    <w:rsid w:val="00144220"/>
    <w:rsid w:val="00144BFE"/>
    <w:rsid w:val="001940BD"/>
    <w:rsid w:val="001961D2"/>
    <w:rsid w:val="001E38D3"/>
    <w:rsid w:val="002363F9"/>
    <w:rsid w:val="0027452E"/>
    <w:rsid w:val="00292524"/>
    <w:rsid w:val="002C5EA2"/>
    <w:rsid w:val="0030274E"/>
    <w:rsid w:val="00334F0E"/>
    <w:rsid w:val="00335F82"/>
    <w:rsid w:val="00335FDC"/>
    <w:rsid w:val="00396401"/>
    <w:rsid w:val="003C1431"/>
    <w:rsid w:val="003D07A5"/>
    <w:rsid w:val="003D3545"/>
    <w:rsid w:val="003E658F"/>
    <w:rsid w:val="003F6D74"/>
    <w:rsid w:val="00450314"/>
    <w:rsid w:val="00474AF1"/>
    <w:rsid w:val="004A260A"/>
    <w:rsid w:val="004A7D5D"/>
    <w:rsid w:val="00585C9C"/>
    <w:rsid w:val="00595581"/>
    <w:rsid w:val="005C0168"/>
    <w:rsid w:val="005F3CF7"/>
    <w:rsid w:val="0060676E"/>
    <w:rsid w:val="006077E9"/>
    <w:rsid w:val="00676938"/>
    <w:rsid w:val="006E4ECB"/>
    <w:rsid w:val="0074139C"/>
    <w:rsid w:val="0082619D"/>
    <w:rsid w:val="008C191C"/>
    <w:rsid w:val="008E3AAC"/>
    <w:rsid w:val="009113AB"/>
    <w:rsid w:val="00987ADD"/>
    <w:rsid w:val="009E7B73"/>
    <w:rsid w:val="00A57D2A"/>
    <w:rsid w:val="00A632A9"/>
    <w:rsid w:val="00A67110"/>
    <w:rsid w:val="00A80274"/>
    <w:rsid w:val="00AC352A"/>
    <w:rsid w:val="00B02D3A"/>
    <w:rsid w:val="00B21CDA"/>
    <w:rsid w:val="00C0399E"/>
    <w:rsid w:val="00C43A18"/>
    <w:rsid w:val="00D9206B"/>
    <w:rsid w:val="00DE5B3E"/>
    <w:rsid w:val="00E6587C"/>
    <w:rsid w:val="00EF01D9"/>
    <w:rsid w:val="00F11990"/>
    <w:rsid w:val="00F20CF7"/>
    <w:rsid w:val="00F60644"/>
    <w:rsid w:val="00F73EBC"/>
    <w:rsid w:val="00F7448A"/>
    <w:rsid w:val="00F875D2"/>
    <w:rsid w:val="00FA059E"/>
    <w:rsid w:val="00F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1F630C"/>
  <w15:chartTrackingRefBased/>
  <w15:docId w15:val="{778D8E34-F866-4F96-8C19-47E5EDE2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yperlink0">
    <w:name w:val="Hyperlink.0"/>
    <w:rPr>
      <w:color w:val="0000FF"/>
      <w:u w:val="single" w:color="0000FF"/>
      <w:lang w:val="en-US"/>
    </w:rPr>
  </w:style>
  <w:style w:type="character" w:customStyle="1" w:styleId="Hyperlink1">
    <w:name w:val="Hyperlink.1"/>
    <w:rPr>
      <w:color w:val="0000FF"/>
      <w:u w:val="single" w:color="0000FF"/>
      <w:lang w:val="de-DE"/>
    </w:rPr>
  </w:style>
  <w:style w:type="character" w:customStyle="1" w:styleId="TekstprzypisukocowegoZnak">
    <w:name w:val="Tekst przypisu końcowego Znak"/>
    <w:rPr>
      <w:color w:val="00000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TekstprzypisudolnegoZnak">
    <w:name w:val="Tekst przypisu dolnego Znak"/>
    <w:rPr>
      <w:color w:val="000000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komentarzaZnak1">
    <w:name w:val="Tekst komentarza Znak1"/>
    <w:rPr>
      <w:rFonts w:ascii="Calibri" w:eastAsia="Calibri" w:hAnsi="Calibri" w:cs="Calibri"/>
      <w:color w:val="000000"/>
      <w:lang w:eastAsia="zh-CN"/>
    </w:rPr>
  </w:style>
  <w:style w:type="paragraph" w:customStyle="1" w:styleId="Heading">
    <w:name w:val="Heading"/>
    <w:basedOn w:val="Normal"/>
    <w:next w:val="Normal"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Normal"/>
    <w:qFormat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Tekstkomentarza1">
    <w:name w:val="Tekst komentarza1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Revision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paragraph" w:styleId="EndnoteText">
    <w:name w:val="endnote text"/>
    <w:basedOn w:val="Normal"/>
    <w:rPr>
      <w:sz w:val="20"/>
      <w:szCs w:val="20"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  <w:contextualSpacing/>
    </w:pPr>
    <w:rPr>
      <w:rFonts w:cs="Times New Roman"/>
      <w:color w:val="auto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resc">
    <w:name w:val="tresc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kapit">
    <w:name w:val="akapit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Pr>
      <w:bCs/>
      <w:sz w:val="56"/>
      <w:szCs w:val="56"/>
    </w:rPr>
  </w:style>
  <w:style w:type="character" w:styleId="EndnoteReference">
    <w:name w:val="endnote reference"/>
    <w:uiPriority w:val="99"/>
    <w:semiHidden/>
    <w:unhideWhenUsed/>
    <w:rsid w:val="009E7B73"/>
    <w:rPr>
      <w:vertAlign w:val="superscript"/>
    </w:rPr>
  </w:style>
  <w:style w:type="character" w:customStyle="1" w:styleId="FooterChar">
    <w:name w:val="Footer Char"/>
    <w:link w:val="Footer"/>
    <w:uiPriority w:val="99"/>
    <w:rsid w:val="00335F82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3C14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totu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ytotu.pl/" TargetMode="External"/><Relationship Id="rId12" Type="http://schemas.openxmlformats.org/officeDocument/2006/relationships/hyperlink" Target="http://www.pozytywnieotwarc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pozytywnieotwarc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ytot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ytotu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3760</Characters>
  <Application>Microsoft Office Word</Application>
  <DocSecurity>4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Links>
    <vt:vector size="36" baseType="variant">
      <vt:variant>
        <vt:i4>1507328</vt:i4>
      </vt:variant>
      <vt:variant>
        <vt:i4>15</vt:i4>
      </vt:variant>
      <vt:variant>
        <vt:i4>0</vt:i4>
      </vt:variant>
      <vt:variant>
        <vt:i4>5</vt:i4>
      </vt:variant>
      <vt:variant>
        <vt:lpwstr>http://www.pozytywnieotwarci.pl/</vt:lpwstr>
      </vt:variant>
      <vt:variant>
        <vt:lpwstr/>
      </vt:variant>
      <vt:variant>
        <vt:i4>589869</vt:i4>
      </vt:variant>
      <vt:variant>
        <vt:i4>12</vt:i4>
      </vt:variant>
      <vt:variant>
        <vt:i4>0</vt:i4>
      </vt:variant>
      <vt:variant>
        <vt:i4>5</vt:i4>
      </vt:variant>
      <vt:variant>
        <vt:lpwstr>mailto:biuro@pozytywnieotwarci.pl</vt:lpwstr>
      </vt:variant>
      <vt:variant>
        <vt:lpwstr/>
      </vt:variant>
      <vt:variant>
        <vt:i4>1900570</vt:i4>
      </vt:variant>
      <vt:variant>
        <vt:i4>9</vt:i4>
      </vt:variant>
      <vt:variant>
        <vt:i4>0</vt:i4>
      </vt:variant>
      <vt:variant>
        <vt:i4>5</vt:i4>
      </vt:variant>
      <vt:variant>
        <vt:lpwstr>http://tytotu.pl/</vt:lpwstr>
      </vt:variant>
      <vt:variant>
        <vt:lpwstr/>
      </vt:variant>
      <vt:variant>
        <vt:i4>2949238</vt:i4>
      </vt:variant>
      <vt:variant>
        <vt:i4>6</vt:i4>
      </vt:variant>
      <vt:variant>
        <vt:i4>0</vt:i4>
      </vt:variant>
      <vt:variant>
        <vt:i4>5</vt:i4>
      </vt:variant>
      <vt:variant>
        <vt:lpwstr>https://tytotu.pl/</vt:lpwstr>
      </vt:variant>
      <vt:variant>
        <vt:lpwstr/>
      </vt:variant>
      <vt:variant>
        <vt:i4>2949238</vt:i4>
      </vt:variant>
      <vt:variant>
        <vt:i4>3</vt:i4>
      </vt:variant>
      <vt:variant>
        <vt:i4>0</vt:i4>
      </vt:variant>
      <vt:variant>
        <vt:i4>5</vt:i4>
      </vt:variant>
      <vt:variant>
        <vt:lpwstr>https://tytotu.pl/</vt:lpwstr>
      </vt:variant>
      <vt:variant>
        <vt:lpwstr/>
      </vt:variant>
      <vt:variant>
        <vt:i4>2949238</vt:i4>
      </vt:variant>
      <vt:variant>
        <vt:i4>0</vt:i4>
      </vt:variant>
      <vt:variant>
        <vt:i4>0</vt:i4>
      </vt:variant>
      <vt:variant>
        <vt:i4>5</vt:i4>
      </vt:variant>
      <vt:variant>
        <vt:lpwstr>https://tytotu.pl/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Kaczmarek</dc:creator>
  <cp:keywords/>
  <dc:description/>
  <cp:lastModifiedBy>Mariola Sarnowska</cp:lastModifiedBy>
  <cp:revision>2</cp:revision>
  <cp:lastPrinted>2019-08-16T11:38:00Z</cp:lastPrinted>
  <dcterms:created xsi:type="dcterms:W3CDTF">2024-01-04T14:37:00Z</dcterms:created>
  <dcterms:modified xsi:type="dcterms:W3CDTF">2024-01-04T14:37:00Z</dcterms:modified>
</cp:coreProperties>
</file>